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63" w:rsidRPr="009D7884" w:rsidRDefault="007B7E63" w:rsidP="00807C13">
      <w:pPr>
        <w:autoSpaceDN w:val="0"/>
        <w:contextualSpacing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7B7E63" w:rsidP="00807C13">
      <w:pPr>
        <w:widowControl w:val="0"/>
        <w:jc w:val="right"/>
        <w:rPr>
          <w:bCs/>
          <w:sz w:val="26"/>
          <w:szCs w:val="26"/>
        </w:rPr>
      </w:pPr>
      <w:bookmarkStart w:id="0" w:name="_GoBack"/>
      <w:bookmarkEnd w:id="0"/>
      <w:r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051E08">
        <w:rPr>
          <w:caps/>
          <w:sz w:val="28"/>
          <w:szCs w:val="28"/>
          <w:lang w:eastAsia="en-US"/>
        </w:rPr>
        <w:fldChar w:fldCharType="begin"/>
      </w:r>
      <w:r w:rsidR="0090464A"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051E08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6C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051E08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6C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051E08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6C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57DA1" w:rsidRDefault="00051E08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116C8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401F0" w:rsidRPr="001A63B2" w:rsidRDefault="00051E08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lastRenderedPageBreak/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Pr="001A63B2">
        <w:rPr>
          <w:sz w:val="26"/>
          <w:szCs w:val="26"/>
        </w:rPr>
        <w:t xml:space="preserve">Порядка ГИА-11для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 xml:space="preserve">загранучрежденияорганизуют проведение </w:t>
      </w:r>
      <w:r w:rsidR="007F3F5E">
        <w:rPr>
          <w:sz w:val="26"/>
          <w:szCs w:val="26"/>
        </w:rPr>
        <w:t>экзаменов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участниковэкзаменов - детей-инвалидов и инвалидов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2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3"/>
      </w:r>
      <w:r w:rsidR="00BE2229" w:rsidRPr="009D7884">
        <w:rPr>
          <w:sz w:val="26"/>
          <w:szCs w:val="26"/>
        </w:rPr>
        <w:t>;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экзамена претендуют на увеличение продолжительности экзамена на 1,5 часа безотносительно формы получения ими образования (в или вне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 w:rsidRPr="00E10670">
        <w:rPr>
          <w:sz w:val="26"/>
          <w:szCs w:val="26"/>
        </w:rPr>
        <w:t xml:space="preserve"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</w:t>
      </w:r>
      <w:r w:rsidRPr="00E10670">
        <w:rPr>
          <w:sz w:val="26"/>
          <w:szCs w:val="26"/>
        </w:rPr>
        <w:lastRenderedPageBreak/>
        <w:t>подтверждающей инвалидность).</w:t>
      </w:r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 xml:space="preserve">.Исчерпывающего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</w:t>
      </w:r>
      <w:r w:rsidRPr="00976AE6">
        <w:rPr>
          <w:rFonts w:ascii="Times New Roman" w:hAnsi="Times New Roman"/>
          <w:sz w:val="26"/>
          <w:szCs w:val="26"/>
        </w:rPr>
        <w:lastRenderedPageBreak/>
        <w:t>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Pr="00976AE6">
        <w:rPr>
          <w:rFonts w:ascii="Times New Roman" w:hAnsi="Times New Roman"/>
          <w:sz w:val="26"/>
          <w:szCs w:val="26"/>
        </w:rPr>
        <w:t xml:space="preserve">с ОВЗ.Вместе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обучающегося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–ОИВ (для центральных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 xml:space="preserve">,при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4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бланки),приведении в порядок рабочего места и подготовке необходимых принадлежностей;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 xml:space="preserve"> (аудитории),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6"/>
      </w:r>
      <w:r w:rsidR="00F401F0" w:rsidRPr="001A63B2">
        <w:rPr>
          <w:sz w:val="26"/>
          <w:szCs w:val="26"/>
        </w:rPr>
        <w:t>.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7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хкатегорий</w:t>
      </w:r>
      <w:r w:rsidRPr="005A6DB6">
        <w:rPr>
          <w:sz w:val="26"/>
          <w:szCs w:val="26"/>
        </w:rPr>
        <w:t>участников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D63AB3">
        <w:rPr>
          <w:sz w:val="26"/>
          <w:szCs w:val="26"/>
        </w:rPr>
        <w:t>экзамена</w:t>
      </w:r>
      <w:r w:rsidR="00AA169A" w:rsidRPr="001A63B2">
        <w:rPr>
          <w:sz w:val="26"/>
          <w:szCs w:val="26"/>
        </w:rPr>
        <w:t xml:space="preserve"> </w:t>
      </w:r>
      <w:r w:rsidR="00AA169A" w:rsidRPr="001A63B2">
        <w:rPr>
          <w:sz w:val="26"/>
          <w:szCs w:val="26"/>
        </w:rPr>
        <w:lastRenderedPageBreak/>
        <w:t>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81CE7" w:rsidRPr="001A63B2">
        <w:rPr>
          <w:sz w:val="26"/>
          <w:szCs w:val="26"/>
        </w:rPr>
        <w:t>на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>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>.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).Шрифт, используемый вКИМ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рекомендацийПМПК допускается использование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 xml:space="preserve">экзаменаиз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ОГЭ по иностранным языкам (раздел «Аудирование») предоставить </w:t>
      </w:r>
      <w:r>
        <w:rPr>
          <w:sz w:val="26"/>
          <w:szCs w:val="26"/>
        </w:rPr>
        <w:lastRenderedPageBreak/>
        <w:t>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>
        <w:rPr>
          <w:sz w:val="26"/>
          <w:szCs w:val="26"/>
        </w:rPr>
        <w:t>В этом случае организуется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</w:t>
      </w:r>
      <w:r w:rsidRPr="00527803">
        <w:rPr>
          <w:sz w:val="26"/>
          <w:szCs w:val="26"/>
        </w:rPr>
        <w:lastRenderedPageBreak/>
        <w:t xml:space="preserve">использование компьютерной техники со специализированным программным 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в том числес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.М</w:t>
      </w:r>
      <w:r w:rsidRPr="001A63B2">
        <w:rPr>
          <w:sz w:val="26"/>
          <w:szCs w:val="26"/>
        </w:rPr>
        <w:t xml:space="preserve">асштабирование производитсяпод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бщественныхнаблюдателей(при наличии)</w:t>
      </w:r>
      <w:r w:rsidR="00FA70D1" w:rsidRPr="001A63B2">
        <w:rPr>
          <w:sz w:val="26"/>
          <w:szCs w:val="26"/>
        </w:rPr>
        <w:t xml:space="preserve"> не ранее10</w:t>
      </w:r>
      <w:r w:rsidR="006A2F2A" w:rsidRPr="001A63B2">
        <w:rPr>
          <w:sz w:val="26"/>
          <w:szCs w:val="26"/>
        </w:rPr>
        <w:t>.00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9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</w:t>
      </w:r>
      <w:r w:rsidRPr="001A63B2">
        <w:rPr>
          <w:sz w:val="26"/>
          <w:szCs w:val="26"/>
        </w:rPr>
        <w:lastRenderedPageBreak/>
        <w:t xml:space="preserve">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10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1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Pr="001A63B2">
        <w:rPr>
          <w:sz w:val="26"/>
          <w:szCs w:val="26"/>
        </w:rPr>
        <w:t xml:space="preserve">члена ГЭК ассистенты </w:t>
      </w:r>
      <w:r w:rsidRPr="001A63B2">
        <w:rPr>
          <w:sz w:val="26"/>
          <w:szCs w:val="26"/>
        </w:rPr>
        <w:lastRenderedPageBreak/>
        <w:t>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охранением комплектации выданных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="00D63AB3">
        <w:rPr>
          <w:sz w:val="26"/>
          <w:szCs w:val="26"/>
        </w:rPr>
        <w:t>экзамена</w:t>
      </w:r>
      <w:r w:rsidR="00710723">
        <w:rPr>
          <w:sz w:val="26"/>
          <w:szCs w:val="26"/>
        </w:rPr>
        <w:t>не представляется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2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</w:t>
      </w:r>
      <w:r w:rsidRPr="001A63B2">
        <w:rPr>
          <w:sz w:val="26"/>
          <w:szCs w:val="26"/>
        </w:rPr>
        <w:lastRenderedPageBreak/>
        <w:t>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>организаторы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>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Pr="001A63B2">
        <w:rPr>
          <w:sz w:val="26"/>
          <w:szCs w:val="26"/>
        </w:rPr>
        <w:t>участников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3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lastRenderedPageBreak/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Pr="001A63B2">
        <w:rPr>
          <w:bCs/>
          <w:sz w:val="26"/>
          <w:szCs w:val="26"/>
        </w:rPr>
        <w:t>участников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65466C" w:rsidRPr="001A63B2">
        <w:rPr>
          <w:bCs/>
          <w:sz w:val="26"/>
          <w:szCs w:val="26"/>
        </w:rPr>
        <w:t xml:space="preserve">позаполнению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ЭМданные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19"/>
      <w:bookmarkEnd w:id="20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4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 w:rsidRPr="002C6BA3">
        <w:rPr>
          <w:bCs/>
          <w:sz w:val="26"/>
          <w:szCs w:val="26"/>
        </w:rPr>
        <w:t>Порядком</w:t>
      </w:r>
      <w:r w:rsidR="00EE349A">
        <w:rPr>
          <w:bCs/>
          <w:sz w:val="26"/>
          <w:szCs w:val="26"/>
        </w:rPr>
        <w:t>ГИА-11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lastRenderedPageBreak/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>в 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 xml:space="preserve">рельефно-точечным шрифтомпишут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>и ф</w:t>
      </w:r>
      <w:r w:rsidRPr="001A63B2">
        <w:rPr>
          <w:sz w:val="26"/>
          <w:szCs w:val="26"/>
        </w:rPr>
        <w:t xml:space="preserve">иксирует </w:t>
      </w:r>
      <w:r w:rsidRPr="001A63B2">
        <w:rPr>
          <w:sz w:val="26"/>
          <w:szCs w:val="26"/>
        </w:rPr>
        <w:lastRenderedPageBreak/>
        <w:t>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>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лен ГЭК приглашает комиссию тифлопереводчиков  для работы по переводу. Тифлопереводчики работаютв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>аркировкой 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>и бланк ответов № 2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сКИМ (стандартного размераи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. КИМ (стандартного размера и </w:t>
      </w:r>
      <w:r w:rsidRPr="001A63B2">
        <w:rPr>
          <w:sz w:val="26"/>
          <w:szCs w:val="26"/>
        </w:rPr>
        <w:lastRenderedPageBreak/>
        <w:t xml:space="preserve">увеличенные)и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охранением комплектации выданных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A50EE">
        <w:br/>
      </w:r>
      <w:r w:rsidR="00B65ACF" w:rsidRPr="001A63B2">
        <w:t>и инвалидов</w:t>
      </w:r>
      <w:bookmarkEnd w:id="29"/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>которой организован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Руководитель ППЭ </w:t>
      </w:r>
      <w:r w:rsidR="002E0166">
        <w:rPr>
          <w:sz w:val="26"/>
          <w:szCs w:val="26"/>
        </w:rPr>
        <w:t>на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Рекомендуетсяосуществлять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.М</w:t>
      </w:r>
      <w:r w:rsidR="00F401F0" w:rsidRPr="001A63B2">
        <w:rPr>
          <w:sz w:val="26"/>
          <w:szCs w:val="26"/>
        </w:rPr>
        <w:t>асштабирование производится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Pr="001A63B2">
        <w:rPr>
          <w:rFonts w:ascii="Times New Roman" w:hAnsi="Times New Roman"/>
          <w:bCs/>
          <w:sz w:val="26"/>
          <w:szCs w:val="26"/>
        </w:rPr>
        <w:lastRenderedPageBreak/>
        <w:t xml:space="preserve">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 xml:space="preserve">.Шрифт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lastRenderedPageBreak/>
              <w:t>экзамена</w:t>
            </w:r>
            <w:r w:rsidRPr="001A63B2">
              <w:rPr>
                <w:sz w:val="22"/>
                <w:szCs w:val="22"/>
              </w:rPr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 работы на компьютереассистент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 xml:space="preserve">,не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6D2" w:rsidRDefault="009846D2" w:rsidP="00E26F70">
      <w:r>
        <w:separator/>
      </w:r>
    </w:p>
  </w:endnote>
  <w:endnote w:type="continuationSeparator" w:id="1">
    <w:p w:rsidR="009846D2" w:rsidRDefault="009846D2" w:rsidP="00E2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778651"/>
      <w:docPartObj>
        <w:docPartGallery w:val="Page Numbers (Bottom of Page)"/>
        <w:docPartUnique/>
      </w:docPartObj>
    </w:sdtPr>
    <w:sdtContent>
      <w:p w:rsidR="00D2002B" w:rsidRDefault="00051E08">
        <w:pPr>
          <w:pStyle w:val="af7"/>
          <w:jc w:val="right"/>
        </w:pPr>
        <w:r>
          <w:fldChar w:fldCharType="begin"/>
        </w:r>
        <w:r w:rsidR="00D2002B">
          <w:instrText>PAGE   \* MERGEFORMAT</w:instrText>
        </w:r>
        <w:r>
          <w:fldChar w:fldCharType="separate"/>
        </w:r>
        <w:r w:rsidR="004116C8">
          <w:rPr>
            <w:noProof/>
          </w:rPr>
          <w:t>2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6D2" w:rsidRDefault="009846D2" w:rsidP="00E26F70">
      <w:r>
        <w:separator/>
      </w:r>
    </w:p>
  </w:footnote>
  <w:footnote w:type="continuationSeparator" w:id="1">
    <w:p w:rsidR="009846D2" w:rsidRDefault="009846D2" w:rsidP="00E26F70">
      <w:r>
        <w:continuationSeparator/>
      </w:r>
    </w:p>
  </w:footnote>
  <w:footnote w:id="2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3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4">
    <w:p w:rsidR="00D2002B" w:rsidRDefault="00D2002B">
      <w:pPr>
        <w:pStyle w:val="af4"/>
      </w:pPr>
      <w:r>
        <w:rPr>
          <w:rStyle w:val="af6"/>
        </w:rPr>
        <w:footnoteRef/>
      </w:r>
      <w:r w:rsidRPr="002B4821">
        <w:t>Списки ассистентов утверждаются ОИВ по согласованию с ГЭК.</w:t>
      </w:r>
    </w:p>
  </w:footnote>
  <w:footnote w:id="5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6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7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8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9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10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Припроведение ОГЭ по иностранным языкам (раздел «Говорение») см. примечание 1 к настоящим Методическим рекомендациям. </w:t>
      </w:r>
    </w:p>
  </w:footnote>
  <w:footnote w:id="11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4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1F0"/>
    <w:rsid w:val="00002897"/>
    <w:rsid w:val="0001182E"/>
    <w:rsid w:val="000242AF"/>
    <w:rsid w:val="00051E08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16C8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846D2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E1E0-E500-427B-B450-DC7AFCF0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10918</Words>
  <Characters>62237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7</cp:revision>
  <cp:lastPrinted>2019-12-19T10:08:00Z</cp:lastPrinted>
  <dcterms:created xsi:type="dcterms:W3CDTF">2019-12-10T12:07:00Z</dcterms:created>
  <dcterms:modified xsi:type="dcterms:W3CDTF">2019-12-19T10:11:00Z</dcterms:modified>
</cp:coreProperties>
</file>